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71E25" w:rsidRDefault="00C4345F" w:rsidP="00671E2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E25">
        <w:rPr>
          <w:rFonts w:ascii="Times New Roman" w:hAnsi="Times New Roman"/>
          <w:b/>
          <w:sz w:val="28"/>
          <w:szCs w:val="28"/>
        </w:rPr>
        <w:t>«</w:t>
      </w:r>
      <w:r w:rsidR="00671E25" w:rsidRPr="00671E25">
        <w:rPr>
          <w:rFonts w:ascii="Times New Roman" w:hAnsi="Times New Roman"/>
          <w:b/>
          <w:sz w:val="28"/>
          <w:szCs w:val="28"/>
        </w:rPr>
        <w:t>Строительный контроль при строительстве, реконструкции и капитальном ремонте сооружений связи</w:t>
      </w:r>
      <w:r w:rsidRPr="00671E2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A20F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A20F5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BA20F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BA20F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27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671E25" w:rsidRPr="00671E25">
              <w:rPr>
                <w:rFonts w:ascii="Times New Roman" w:hAnsi="Times New Roman"/>
                <w:szCs w:val="28"/>
              </w:rPr>
              <w:t>при строительстве, реконструкции и капитальном ремонте сооружений связи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 xml:space="preserve">Строительный контроль за работами по строительству, реконструкции и капитальному ремонту объектов </w:t>
            </w:r>
            <w:r w:rsidR="00671E25" w:rsidRPr="00671E25">
              <w:rPr>
                <w:rFonts w:ascii="Times New Roman" w:hAnsi="Times New Roman"/>
                <w:szCs w:val="28"/>
              </w:rPr>
              <w:t>сооружений связи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33476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203923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71E25"/>
    <w:rsid w:val="00685E71"/>
    <w:rsid w:val="00687BA1"/>
    <w:rsid w:val="006A19AA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805E7"/>
    <w:rsid w:val="00B86CA7"/>
    <w:rsid w:val="00B87EEF"/>
    <w:rsid w:val="00BA20F5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1167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8308-71CE-4592-A1A5-4445CB98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2018-01-09T13:23:00Z</dcterms:created>
  <dcterms:modified xsi:type="dcterms:W3CDTF">2018-01-09T13:32:00Z</dcterms:modified>
</cp:coreProperties>
</file>